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A2BDC" w14:textId="77777777" w:rsidR="004B6E5C" w:rsidRPr="001174D1" w:rsidRDefault="004B6E5C" w:rsidP="00C35F23">
      <w:pPr>
        <w:pStyle w:val="Coverpageannexnumb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/>
        </w:rPr>
        <w:t>ANEXO XIII</w:t>
      </w:r>
    </w:p>
    <w:p w14:paraId="5274F5AC" w14:textId="77777777" w:rsidR="004B6E5C" w:rsidRPr="001174D1" w:rsidRDefault="004B6E5C" w:rsidP="00025FAC">
      <w:pPr>
        <w:pStyle w:val="Coverpageannexreftitle"/>
        <w:rPr>
          <w:rFonts w:cs="Times New Roman"/>
          <w:b/>
        </w:rPr>
      </w:pPr>
      <w:r>
        <w:rPr>
          <w:b/>
        </w:rPr>
        <w:t>REFERIDO NO Artigo 8.21</w:t>
      </w:r>
    </w:p>
    <w:p w14:paraId="15F87A6E" w14:textId="4FAC4EE5" w:rsidR="00234E20" w:rsidRPr="001174D1" w:rsidRDefault="004B6E5C" w:rsidP="00025FAC">
      <w:pPr>
        <w:pStyle w:val="Coverpageannexreftitle"/>
        <w:rPr>
          <w:rFonts w:cs="Times New Roman"/>
          <w:b/>
        </w:rPr>
      </w:pPr>
      <w:r>
        <w:rPr>
          <w:b/>
        </w:rPr>
        <w:t xml:space="preserve">Serviços de telecomunicações </w:t>
      </w:r>
    </w:p>
    <w:p w14:paraId="205B78CA" w14:textId="77777777" w:rsidR="00234E20" w:rsidRPr="001174D1" w:rsidRDefault="00234E20">
      <w:pP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  <w:r>
        <w:br w:type="page"/>
      </w:r>
    </w:p>
    <w:p w14:paraId="787D8E52" w14:textId="77777777" w:rsidR="004B6E5C" w:rsidRPr="00553A06" w:rsidRDefault="004B6E5C" w:rsidP="004B6E5C">
      <w:pPr>
        <w:pStyle w:val="HeaderFooter"/>
        <w:tabs>
          <w:tab w:val="left" w:pos="708"/>
        </w:tabs>
        <w:jc w:val="left"/>
        <w:rPr>
          <w:rFonts w:ascii="Times New Roman" w:hAnsi="Times New Roman"/>
          <w:smallCaps w:val="0"/>
          <w:color w:val="000000"/>
          <w:szCs w:val="24"/>
        </w:rPr>
      </w:pPr>
    </w:p>
    <w:p w14:paraId="03C9E11F" w14:textId="77777777" w:rsidR="004B6E5C" w:rsidRPr="00553A06" w:rsidRDefault="004B6E5C" w:rsidP="004B6E5C">
      <w:pPr>
        <w:pStyle w:val="HeaderFooter"/>
        <w:tabs>
          <w:tab w:val="left" w:pos="708"/>
        </w:tabs>
        <w:jc w:val="left"/>
        <w:rPr>
          <w:rFonts w:ascii="Times New Roman" w:hAnsi="Times New Roman"/>
          <w:smallCaps w:val="0"/>
          <w:color w:val="000000"/>
          <w:szCs w:val="24"/>
        </w:rPr>
        <w:sectPr w:rsidR="004B6E5C" w:rsidRPr="00553A06" w:rsidSect="000423F1">
          <w:headerReference w:type="default" r:id="rId9"/>
          <w:footerReference w:type="default" r:id="rId10"/>
          <w:footerReference w:type="first" r:id="rId11"/>
          <w:pgSz w:w="11907" w:h="16839" w:code="9"/>
          <w:pgMar w:top="1418" w:right="1701" w:bottom="1418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72CE0327" w14:textId="77777777" w:rsidR="004B6E5C" w:rsidRPr="00553A06" w:rsidRDefault="004B6E5C" w:rsidP="004B6E5C">
      <w:pPr>
        <w:pStyle w:val="HeaderFooter"/>
        <w:tabs>
          <w:tab w:val="left" w:pos="708"/>
        </w:tabs>
        <w:rPr>
          <w:rFonts w:ascii="Times New Roman" w:hAnsi="Times New Roman"/>
          <w:b w:val="0"/>
          <w:bCs/>
          <w:smallCaps w:val="0"/>
          <w:color w:val="000000"/>
          <w:szCs w:val="24"/>
          <w:u w:val="single"/>
        </w:rPr>
      </w:pPr>
    </w:p>
    <w:p w14:paraId="645BE567" w14:textId="77777777" w:rsidR="004B6E5C" w:rsidRPr="001174D1" w:rsidRDefault="004B6E5C" w:rsidP="00C417F4">
      <w:pPr>
        <w:pStyle w:val="FTAchaptertitle"/>
        <w:spacing w:after="0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ANEXO XIII</w:t>
      </w:r>
    </w:p>
    <w:p w14:paraId="2A0E5DC0" w14:textId="77777777" w:rsidR="004B6E5C" w:rsidRPr="001174D1" w:rsidRDefault="004B6E5C" w:rsidP="00C417F4">
      <w:pPr>
        <w:pStyle w:val="FTAchaptertitle"/>
        <w:spacing w:after="0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8.21</w:t>
      </w:r>
    </w:p>
    <w:p w14:paraId="251AB096" w14:textId="77777777" w:rsidR="004B6E5C" w:rsidRPr="001174D1" w:rsidRDefault="004B6E5C" w:rsidP="00C417F4">
      <w:pPr>
        <w:pStyle w:val="FTAchaptertitle"/>
        <w:spacing w:after="0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SERVIÇOS DE TELECOMUNICAÇÕES</w:t>
      </w:r>
    </w:p>
    <w:p w14:paraId="44B76DE8" w14:textId="085FE031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1</w:t>
      </w:r>
      <w:r w:rsidR="00CD201E">
        <w:t>º</w:t>
      </w:r>
    </w:p>
    <w:p w14:paraId="3E0200F0" w14:textId="1EB9F217" w:rsidR="004B6E5C" w:rsidRPr="001174D1" w:rsidRDefault="00DE3D8E" w:rsidP="009A1465">
      <w:pPr>
        <w:pStyle w:val="FTAarticletitle"/>
        <w:rPr>
          <w:rFonts w:cs="Times New Roman"/>
          <w:bCs/>
          <w:szCs w:val="24"/>
        </w:rPr>
      </w:pPr>
      <w:r>
        <w:t xml:space="preserve">Âmbito de </w:t>
      </w:r>
      <w:r w:rsidR="00553A06">
        <w:t>A</w:t>
      </w:r>
      <w:r>
        <w:t>plicação</w:t>
      </w:r>
      <w:r w:rsidR="004B6E5C">
        <w:t xml:space="preserve"> e Definições</w:t>
      </w:r>
    </w:p>
    <w:p w14:paraId="61372FAF" w14:textId="6078AE80" w:rsidR="004B6E5C" w:rsidRPr="001174D1" w:rsidRDefault="004B6E5C" w:rsidP="00B75C0D">
      <w:pPr>
        <w:pStyle w:val="Corpodetexto"/>
        <w:spacing w:after="240"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t xml:space="preserve">O presente </w:t>
      </w:r>
      <w:r w:rsidR="006206DB">
        <w:t>A</w:t>
      </w:r>
      <w:r>
        <w:t>nexo aplica-se às medidas tomadas pelos Estados Partes que afetam o comércio de serviços de telecomunicações.</w:t>
      </w:r>
      <w:r w:rsidRPr="001174D1">
        <w:rPr>
          <w:vertAlign w:val="superscript"/>
        </w:rPr>
        <w:footnoteReference w:id="2"/>
      </w:r>
      <w:r>
        <w:t xml:space="preserve"> Não se aplica</w:t>
      </w:r>
      <w:r w:rsidR="009A710F">
        <w:t>rá</w:t>
      </w:r>
      <w:r>
        <w:t xml:space="preserve"> às medidas tomadas pelos Estados Partes relativas à radiodifusão ou distribuição por cabo de programas de rádio ou televisão.</w:t>
      </w:r>
      <w:r w:rsidRPr="001174D1">
        <w:rPr>
          <w:vertAlign w:val="superscript"/>
        </w:rPr>
        <w:footnoteReference w:id="3"/>
      </w:r>
      <w:r>
        <w:t xml:space="preserve"> </w:t>
      </w:r>
    </w:p>
    <w:p w14:paraId="69C56F8E" w14:textId="1CFCFD38" w:rsidR="004B6E5C" w:rsidRPr="001174D1" w:rsidRDefault="004B6E5C" w:rsidP="00B75C0D">
      <w:pPr>
        <w:pStyle w:val="Corpodetexto"/>
        <w:spacing w:after="240"/>
        <w:jc w:val="both"/>
      </w:pPr>
      <w:r>
        <w:t>2.</w:t>
      </w:r>
      <w:r>
        <w:tab/>
        <w:t xml:space="preserve">Nada neste </w:t>
      </w:r>
      <w:r w:rsidR="006206DB">
        <w:t>A</w:t>
      </w:r>
      <w:r>
        <w:t>nexo ser</w:t>
      </w:r>
      <w:r w:rsidR="009A710F">
        <w:t>á</w:t>
      </w:r>
      <w:r>
        <w:t xml:space="preserve"> interpretado </w:t>
      </w:r>
      <w:r w:rsidR="0030775A">
        <w:t>de modo a</w:t>
      </w:r>
      <w:r>
        <w:t>:</w:t>
      </w:r>
    </w:p>
    <w:p w14:paraId="2A5CE8DF" w14:textId="0216087B" w:rsidR="004B6E5C" w:rsidRPr="001174D1" w:rsidRDefault="004B6E5C" w:rsidP="004B6E5C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(a)</w:t>
      </w:r>
      <w:r>
        <w:rPr>
          <w:rFonts w:ascii="Times New Roman" w:hAnsi="Times New Roman"/>
          <w:sz w:val="24"/>
        </w:rPr>
        <w:tab/>
        <w:t xml:space="preserve">exigir que um Estado Parte autorize um prestador de serviços de qualquer outro Estado Parte a estabelecer, construir, adquirir, arrendar, operar ou fornecer redes ou serviços de transporte de telecomunicações, exceto </w:t>
      </w:r>
      <w:r w:rsidR="001320CD">
        <w:rPr>
          <w:rFonts w:ascii="Times New Roman" w:hAnsi="Times New Roman"/>
          <w:sz w:val="24"/>
        </w:rPr>
        <w:t>como</w:t>
      </w:r>
      <w:r>
        <w:rPr>
          <w:rFonts w:ascii="Times New Roman" w:hAnsi="Times New Roman"/>
          <w:sz w:val="24"/>
        </w:rPr>
        <w:t xml:space="preserve"> previsto em su</w:t>
      </w:r>
      <w:r w:rsidR="00CD201E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 w:rsidR="00CD201E">
        <w:rPr>
          <w:rFonts w:ascii="Times New Roman" w:hAnsi="Times New Roman"/>
          <w:sz w:val="24"/>
        </w:rPr>
        <w:t>Lista</w:t>
      </w:r>
      <w:r>
        <w:rPr>
          <w:rFonts w:ascii="Times New Roman" w:hAnsi="Times New Roman"/>
          <w:sz w:val="24"/>
        </w:rPr>
        <w:t xml:space="preserve"> de Compromissos; ou </w:t>
      </w:r>
    </w:p>
    <w:p w14:paraId="47EFFFAA" w14:textId="22500777" w:rsidR="004B6E5C" w:rsidRPr="001174D1" w:rsidRDefault="004B6E5C" w:rsidP="004B6E5C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 xml:space="preserve">exigir que um Estado Parte, ou exigir que um Estado Parte obrigue os prestadores de serviços sob sua jurisdição a estabelecer, construir, adquirir, </w:t>
      </w:r>
      <w:r w:rsidR="002A78FA">
        <w:rPr>
          <w:rFonts w:ascii="Times New Roman" w:hAnsi="Times New Roman"/>
          <w:sz w:val="24"/>
        </w:rPr>
        <w:t>arrendar</w:t>
      </w:r>
      <w:r>
        <w:rPr>
          <w:rFonts w:ascii="Times New Roman" w:hAnsi="Times New Roman"/>
          <w:sz w:val="24"/>
        </w:rPr>
        <w:t>, operar ou fornecer redes ou serviços de transporte de telecomunicações que não sejam oferecidos ao público em geral.</w:t>
      </w:r>
    </w:p>
    <w:p w14:paraId="15504F08" w14:textId="77777777" w:rsidR="004B6E5C" w:rsidRPr="001174D1" w:rsidRDefault="004B6E5C" w:rsidP="004B6E5C">
      <w:pPr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3.</w:t>
      </w:r>
      <w:r>
        <w:rPr>
          <w:rFonts w:ascii="Times New Roman" w:hAnsi="Times New Roman"/>
          <w:color w:val="000000"/>
          <w:sz w:val="24"/>
        </w:rPr>
        <w:tab/>
        <w:t>Para os efeitos do presente Anexo:</w:t>
      </w:r>
    </w:p>
    <w:p w14:paraId="77AA0AE4" w14:textId="77777777" w:rsidR="004B6E5C" w:rsidRPr="001174D1" w:rsidRDefault="004B6E5C" w:rsidP="00B75C0D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(a)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sz w:val="24"/>
        </w:rPr>
        <w:t>“serviços de telecomunicações” significa a transmissão e recepção de sinais por quaisquer meios eletromagnéticos oferecidos ao público em geral. O setor dos serviços de telecomunicações não abrange a atividade econômica que consiste no fornecimento de conteúdos que requerem serviços de telecomunicações para o seu transporte;</w:t>
      </w:r>
    </w:p>
    <w:p w14:paraId="6CCA5C6E" w14:textId="42A278D2" w:rsidR="004B6E5C" w:rsidRPr="001174D1" w:rsidRDefault="004B6E5C" w:rsidP="00B75C0D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(b)</w:t>
      </w:r>
      <w:r>
        <w:rPr>
          <w:rFonts w:ascii="Times New Roman" w:hAnsi="Times New Roman"/>
          <w:sz w:val="24"/>
        </w:rPr>
        <w:tab/>
        <w:t xml:space="preserve">“autoridade reguladora” significa </w:t>
      </w:r>
      <w:r w:rsidR="0030775A">
        <w:rPr>
          <w:rFonts w:ascii="Times New Roman" w:hAnsi="Times New Roman"/>
          <w:sz w:val="24"/>
        </w:rPr>
        <w:t>a entidade</w:t>
      </w:r>
      <w:r>
        <w:rPr>
          <w:rFonts w:ascii="Times New Roman" w:hAnsi="Times New Roman"/>
          <w:sz w:val="24"/>
        </w:rPr>
        <w:t xml:space="preserve"> ou </w:t>
      </w:r>
      <w:r w:rsidR="0030775A">
        <w:rPr>
          <w:rFonts w:ascii="Times New Roman" w:hAnsi="Times New Roman"/>
          <w:sz w:val="24"/>
        </w:rPr>
        <w:t xml:space="preserve">entidades </w:t>
      </w:r>
      <w:r>
        <w:rPr>
          <w:rFonts w:ascii="Times New Roman" w:hAnsi="Times New Roman"/>
          <w:sz w:val="24"/>
        </w:rPr>
        <w:t>encarregad</w:t>
      </w:r>
      <w:r w:rsidR="0030775A">
        <w:rPr>
          <w:rFonts w:ascii="Times New Roman" w:hAnsi="Times New Roman"/>
          <w:sz w:val="24"/>
        </w:rPr>
        <w:t>as</w:t>
      </w:r>
      <w:r>
        <w:rPr>
          <w:rFonts w:ascii="Times New Roman" w:hAnsi="Times New Roman"/>
          <w:sz w:val="24"/>
        </w:rPr>
        <w:t xml:space="preserve"> de </w:t>
      </w:r>
      <w:r w:rsidR="00BC03AE">
        <w:rPr>
          <w:rFonts w:ascii="Times New Roman" w:hAnsi="Times New Roman"/>
          <w:sz w:val="24"/>
        </w:rPr>
        <w:t xml:space="preserve">quaisquer </w:t>
      </w:r>
      <w:r>
        <w:rPr>
          <w:rFonts w:ascii="Times New Roman" w:hAnsi="Times New Roman"/>
          <w:sz w:val="24"/>
        </w:rPr>
        <w:t xml:space="preserve">das tarefas reguladoras atribuídas em relação às questões mencionadas no presente </w:t>
      </w:r>
      <w:r w:rsidR="00BC03AE">
        <w:rPr>
          <w:rFonts w:ascii="Times New Roman" w:hAnsi="Times New Roman"/>
          <w:sz w:val="24"/>
        </w:rPr>
        <w:t>Anexo</w:t>
      </w:r>
      <w:r>
        <w:rPr>
          <w:rFonts w:ascii="Times New Roman" w:hAnsi="Times New Roman"/>
          <w:sz w:val="24"/>
        </w:rPr>
        <w:t>;</w:t>
      </w:r>
    </w:p>
    <w:p w14:paraId="487B5663" w14:textId="1825487B" w:rsidR="004B6E5C" w:rsidRPr="001174D1" w:rsidRDefault="004B6E5C" w:rsidP="00B75C0D">
      <w:pPr>
        <w:ind w:left="1440" w:hanging="720"/>
        <w:jc w:val="both"/>
        <w:rPr>
          <w:rFonts w:ascii="Times New Roman" w:eastAsia="SimSun" w:hAnsi="Times New Roman" w:cs="Times New Roman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>“</w:t>
      </w:r>
      <w:r w:rsidR="00F657A4">
        <w:rPr>
          <w:rFonts w:ascii="Times New Roman" w:hAnsi="Times New Roman"/>
          <w:sz w:val="24"/>
        </w:rPr>
        <w:t xml:space="preserve">prestador </w:t>
      </w:r>
      <w:r>
        <w:rPr>
          <w:rFonts w:ascii="Times New Roman" w:hAnsi="Times New Roman"/>
          <w:sz w:val="24"/>
        </w:rPr>
        <w:t xml:space="preserve">importante”: um </w:t>
      </w:r>
      <w:r w:rsidR="00F657A4">
        <w:rPr>
          <w:rFonts w:ascii="Times New Roman" w:hAnsi="Times New Roman"/>
          <w:sz w:val="24"/>
        </w:rPr>
        <w:t xml:space="preserve">prestador </w:t>
      </w:r>
      <w:r>
        <w:rPr>
          <w:rFonts w:ascii="Times New Roman" w:hAnsi="Times New Roman"/>
          <w:sz w:val="24"/>
        </w:rPr>
        <w:t xml:space="preserve">que, devido à sua posição nos mercados relevantes das redes ou serviços de telecomunicações, tem a capacidade de influenciar significativamente as condições de participação no que diz respeito aos preços e </w:t>
      </w:r>
      <w:r w:rsidR="00F657A4">
        <w:rPr>
          <w:rFonts w:ascii="Times New Roman" w:hAnsi="Times New Roman"/>
          <w:sz w:val="24"/>
        </w:rPr>
        <w:t>à prestação</w:t>
      </w:r>
      <w:r>
        <w:rPr>
          <w:rFonts w:ascii="Times New Roman" w:hAnsi="Times New Roman"/>
          <w:sz w:val="24"/>
        </w:rPr>
        <w:t>; e</w:t>
      </w:r>
    </w:p>
    <w:p w14:paraId="345A490C" w14:textId="77777777" w:rsidR="004B6E5C" w:rsidRPr="001174D1" w:rsidRDefault="004B6E5C" w:rsidP="004B6E5C">
      <w:pPr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(d)</w:t>
      </w:r>
      <w:r>
        <w:rPr>
          <w:rFonts w:ascii="Times New Roman" w:hAnsi="Times New Roman"/>
          <w:sz w:val="24"/>
        </w:rPr>
        <w:tab/>
        <w:t>“rede de transporte de telecomunicações” significa a infraestrutura pública de telecomunicações que permite as telecomunicações entre pontos de terminação de rede definidos.</w:t>
      </w:r>
    </w:p>
    <w:p w14:paraId="37747F7F" w14:textId="01156463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2</w:t>
      </w:r>
      <w:r w:rsidR="00CD201E">
        <w:t>º</w:t>
      </w:r>
    </w:p>
    <w:p w14:paraId="7D650821" w14:textId="4BB3E2FE" w:rsidR="004B6E5C" w:rsidRPr="001174D1" w:rsidRDefault="004B6E5C" w:rsidP="009A1465">
      <w:pPr>
        <w:pStyle w:val="FTAarticletitle"/>
        <w:rPr>
          <w:rFonts w:cs="Times New Roman"/>
          <w:bCs/>
          <w:szCs w:val="24"/>
        </w:rPr>
      </w:pPr>
      <w:r>
        <w:t xml:space="preserve">Salvaguardas </w:t>
      </w:r>
      <w:r w:rsidR="0048024C">
        <w:t>C</w:t>
      </w:r>
      <w:r>
        <w:t>ompetitivas</w:t>
      </w:r>
    </w:p>
    <w:p w14:paraId="1BC67250" w14:textId="4F17F833" w:rsidR="004B6E5C" w:rsidRPr="001174D1" w:rsidRDefault="004B6E5C" w:rsidP="00BC03AE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ab/>
        <w:t xml:space="preserve">Cada Estado Parte manterá medidas adequadas com o objetivo de impedir que os </w:t>
      </w:r>
      <w:r w:rsidR="00F657A4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>se envolvam ou continuem a praticar práticas anticompetitivas.</w:t>
      </w:r>
    </w:p>
    <w:p w14:paraId="7CA30CC2" w14:textId="35B0A685" w:rsidR="004B6E5C" w:rsidRPr="001174D1" w:rsidRDefault="004B6E5C" w:rsidP="00BC03AE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ab/>
        <w:t xml:space="preserve">As práticas anticompetitivas referidas no </w:t>
      </w:r>
      <w:r w:rsidR="00015965">
        <w:rPr>
          <w:rFonts w:ascii="Times New Roman" w:hAnsi="Times New Roman"/>
          <w:color w:val="000000"/>
          <w:sz w:val="24"/>
        </w:rPr>
        <w:t>p</w:t>
      </w:r>
      <w:r>
        <w:rPr>
          <w:rFonts w:ascii="Times New Roman" w:hAnsi="Times New Roman"/>
          <w:color w:val="000000"/>
          <w:sz w:val="24"/>
        </w:rPr>
        <w:t>arágrafo 1</w:t>
      </w:r>
      <w:r w:rsidR="00CD201E">
        <w:rPr>
          <w:rFonts w:ascii="Times New Roman" w:hAnsi="Times New Roman"/>
          <w:color w:val="000000"/>
          <w:sz w:val="24"/>
        </w:rPr>
        <w:t>º</w:t>
      </w:r>
      <w:r>
        <w:rPr>
          <w:rFonts w:ascii="Times New Roman" w:hAnsi="Times New Roman"/>
          <w:color w:val="000000"/>
          <w:sz w:val="24"/>
        </w:rPr>
        <w:t xml:space="preserve"> incluem, em particular:</w:t>
      </w:r>
    </w:p>
    <w:p w14:paraId="66D3C834" w14:textId="77777777" w:rsidR="004B6E5C" w:rsidRPr="001174D1" w:rsidRDefault="004B6E5C" w:rsidP="00015965">
      <w:pPr>
        <w:ind w:left="1418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(a)</w:t>
      </w:r>
      <w:r>
        <w:rPr>
          <w:rFonts w:ascii="Times New Roman" w:hAnsi="Times New Roman"/>
          <w:color w:val="000000"/>
          <w:sz w:val="24"/>
        </w:rPr>
        <w:tab/>
        <w:t>praticar subsídios cruzados anticompetitivos;</w:t>
      </w:r>
    </w:p>
    <w:p w14:paraId="513E101D" w14:textId="77777777" w:rsidR="004B6E5C" w:rsidRPr="001174D1" w:rsidRDefault="004B6E5C" w:rsidP="00BC03AE">
      <w:pPr>
        <w:ind w:left="1418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(b)</w:t>
      </w:r>
      <w:r>
        <w:rPr>
          <w:rFonts w:ascii="Times New Roman" w:hAnsi="Times New Roman"/>
          <w:color w:val="000000"/>
          <w:sz w:val="24"/>
        </w:rPr>
        <w:tab/>
        <w:t>utilizar informações obtidas de concorrentes com resultados anticompetitivos; e</w:t>
      </w:r>
    </w:p>
    <w:p w14:paraId="09D248BB" w14:textId="659992C5" w:rsidR="004B6E5C" w:rsidRPr="001174D1" w:rsidRDefault="004B6E5C" w:rsidP="00015965">
      <w:pPr>
        <w:ind w:left="1418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(c)</w:t>
      </w:r>
      <w:r>
        <w:rPr>
          <w:rFonts w:ascii="Times New Roman" w:hAnsi="Times New Roman"/>
          <w:color w:val="000000"/>
          <w:sz w:val="24"/>
        </w:rPr>
        <w:tab/>
        <w:t>não disponibilizar</w:t>
      </w:r>
      <w:r w:rsidR="00C5256F">
        <w:rPr>
          <w:rFonts w:ascii="Times New Roman" w:hAnsi="Times New Roman"/>
          <w:color w:val="000000"/>
          <w:sz w:val="24"/>
        </w:rPr>
        <w:t xml:space="preserve">, em prazo razoável, </w:t>
      </w:r>
      <w:r>
        <w:rPr>
          <w:rFonts w:ascii="Times New Roman" w:hAnsi="Times New Roman"/>
          <w:color w:val="000000"/>
          <w:sz w:val="24"/>
        </w:rPr>
        <w:t>a outros prestadores de serviços informações técnicas sobre instalações essenciais e informações comercialmente relevantes que sejam necessárias para que estes prestem os seus serviços.</w:t>
      </w:r>
    </w:p>
    <w:p w14:paraId="751DBAAD" w14:textId="7DD5AFFF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3</w:t>
      </w:r>
      <w:r w:rsidR="00CD201E">
        <w:t>º</w:t>
      </w:r>
    </w:p>
    <w:p w14:paraId="68FC0AA5" w14:textId="77777777" w:rsidR="004B6E5C" w:rsidRPr="001174D1" w:rsidRDefault="004B6E5C" w:rsidP="009A1465">
      <w:pPr>
        <w:pStyle w:val="FTAarticletitle"/>
        <w:rPr>
          <w:rFonts w:cs="Times New Roman"/>
          <w:bCs/>
          <w:iCs/>
          <w:color w:val="000000"/>
          <w:szCs w:val="24"/>
        </w:rPr>
      </w:pPr>
      <w:r>
        <w:t>Interconexão</w:t>
      </w:r>
    </w:p>
    <w:p w14:paraId="05251199" w14:textId="38CF081C" w:rsidR="004B6E5C" w:rsidRPr="001174D1" w:rsidRDefault="004B6E5C" w:rsidP="00015965">
      <w:pPr>
        <w:pStyle w:val="Corpodetexto"/>
        <w:jc w:val="both"/>
        <w:rPr>
          <w:rFonts w:eastAsia="SimSun"/>
        </w:rPr>
      </w:pPr>
      <w:r>
        <w:t>1.</w:t>
      </w:r>
      <w:r>
        <w:tab/>
        <w:t xml:space="preserve">O presente Artigo aplica-se às </w:t>
      </w:r>
      <w:r w:rsidR="00BC03AE">
        <w:t>conexões de</w:t>
      </w:r>
      <w:r>
        <w:t xml:space="preserve"> </w:t>
      </w:r>
      <w:r w:rsidR="0048024C">
        <w:t xml:space="preserve">prestadores </w:t>
      </w:r>
      <w:r w:rsidR="002B639B">
        <w:t>de redes de transporte de telecomunicações ou serviços de transporte de telecomunicações</w:t>
      </w:r>
      <w:r>
        <w:t xml:space="preserve">, a fim de permitir que os </w:t>
      </w:r>
      <w:r w:rsidR="002B639B">
        <w:t xml:space="preserve">usuários </w:t>
      </w:r>
      <w:r>
        <w:t xml:space="preserve">de um </w:t>
      </w:r>
      <w:r w:rsidR="002B639B">
        <w:t xml:space="preserve">prestador </w:t>
      </w:r>
      <w:r w:rsidR="00972972">
        <w:t>se comuniquem</w:t>
      </w:r>
      <w:r w:rsidR="002B639B">
        <w:t xml:space="preserve"> </w:t>
      </w:r>
      <w:r>
        <w:t xml:space="preserve">com os </w:t>
      </w:r>
      <w:r w:rsidR="002B639B">
        <w:t xml:space="preserve">usuários </w:t>
      </w:r>
      <w:r>
        <w:t xml:space="preserve">de outro </w:t>
      </w:r>
      <w:r w:rsidR="002B639B">
        <w:t xml:space="preserve">prestador </w:t>
      </w:r>
      <w:r>
        <w:t xml:space="preserve">e tenham acesso aos serviços prestados por outro </w:t>
      </w:r>
      <w:r w:rsidR="002B639B">
        <w:t>prestador</w:t>
      </w:r>
      <w:r>
        <w:t>, sempre que sejam assumidos compromissos específicos.</w:t>
      </w:r>
    </w:p>
    <w:p w14:paraId="5551E0DB" w14:textId="5D8C2487" w:rsidR="004B6E5C" w:rsidRPr="001174D1" w:rsidRDefault="004B6E5C" w:rsidP="00015965">
      <w:pPr>
        <w:pStyle w:val="Corpodetexto"/>
        <w:jc w:val="both"/>
      </w:pPr>
      <w:r>
        <w:t>2.</w:t>
      </w:r>
      <w:r>
        <w:tab/>
        <w:t xml:space="preserve">Qualquer </w:t>
      </w:r>
      <w:r w:rsidR="002B639B">
        <w:t xml:space="preserve">prestador </w:t>
      </w:r>
      <w:r>
        <w:t>autorizado a prestar serviços de telecomunicações te</w:t>
      </w:r>
      <w:r w:rsidR="009A710F">
        <w:t>rá</w:t>
      </w:r>
      <w:r>
        <w:t xml:space="preserve"> o direito de negociar a interconexão com outros </w:t>
      </w:r>
      <w:r w:rsidR="002B639B">
        <w:t xml:space="preserve">prestadores </w:t>
      </w:r>
      <w:r>
        <w:t xml:space="preserve">de redes e serviços de telecomunicações. A interconexão </w:t>
      </w:r>
      <w:r w:rsidR="002B639B">
        <w:t>será, em princípio,</w:t>
      </w:r>
      <w:r>
        <w:t xml:space="preserve"> acordada com base em negociações comerciais entre os </w:t>
      </w:r>
      <w:r w:rsidR="00126B52">
        <w:t xml:space="preserve">prestadores </w:t>
      </w:r>
      <w:r>
        <w:t>envolvidos.</w:t>
      </w:r>
    </w:p>
    <w:p w14:paraId="53DA816A" w14:textId="2C98F0BF" w:rsidR="004B6E5C" w:rsidRPr="001174D1" w:rsidRDefault="004B6E5C" w:rsidP="004B6E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Quando as leis e regulamentos nacionais exigirem que os </w:t>
      </w:r>
      <w:r w:rsidR="00126B52">
        <w:rPr>
          <w:rFonts w:ascii="Times New Roman" w:hAnsi="Times New Roman"/>
          <w:sz w:val="24"/>
        </w:rPr>
        <w:t xml:space="preserve">prestadores </w:t>
      </w:r>
      <w:r>
        <w:rPr>
          <w:rFonts w:ascii="Times New Roman" w:hAnsi="Times New Roman"/>
          <w:sz w:val="24"/>
        </w:rPr>
        <w:t xml:space="preserve">se interconectem, essa interconexão </w:t>
      </w:r>
      <w:r w:rsidR="00F159BF">
        <w:rPr>
          <w:rFonts w:ascii="Times New Roman" w:hAnsi="Times New Roman"/>
          <w:sz w:val="24"/>
        </w:rPr>
        <w:t xml:space="preserve">será </w:t>
      </w:r>
      <w:r>
        <w:rPr>
          <w:rFonts w:ascii="Times New Roman" w:hAnsi="Times New Roman"/>
          <w:sz w:val="24"/>
        </w:rPr>
        <w:t xml:space="preserve">fornecida em </w:t>
      </w:r>
      <w:r w:rsidR="00126B52">
        <w:rPr>
          <w:rFonts w:ascii="Times New Roman" w:hAnsi="Times New Roman"/>
          <w:sz w:val="24"/>
        </w:rPr>
        <w:t>prazo razoável</w:t>
      </w:r>
      <w:r>
        <w:rPr>
          <w:rFonts w:ascii="Times New Roman" w:hAnsi="Times New Roman"/>
          <w:sz w:val="24"/>
        </w:rPr>
        <w:t xml:space="preserve">, em termos e condições (incluindo normas e especificações técnicas) que sejam transparentes, razoáveis, tendo em conta a viabilidade econômica, e suficientemente detalhadas e </w:t>
      </w:r>
      <w:r w:rsidR="00126B52">
        <w:rPr>
          <w:rFonts w:ascii="Times New Roman" w:hAnsi="Times New Roman"/>
          <w:sz w:val="24"/>
        </w:rPr>
        <w:t>discriminadas</w:t>
      </w:r>
      <w:r>
        <w:rPr>
          <w:rFonts w:ascii="Times New Roman" w:hAnsi="Times New Roman"/>
          <w:sz w:val="24"/>
        </w:rPr>
        <w:t xml:space="preserve">, de modo que o </w:t>
      </w:r>
      <w:r w:rsidR="000B1FE8">
        <w:rPr>
          <w:rFonts w:ascii="Times New Roman" w:hAnsi="Times New Roman"/>
          <w:sz w:val="24"/>
        </w:rPr>
        <w:t>prestador</w:t>
      </w:r>
      <w:r w:rsidR="00F657A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não tenha de pagar por componentes ou instalações de rede que não necessite para os serviços a prestar. Essa interconexão ser</w:t>
      </w:r>
      <w:r w:rsidR="00B614FE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fornecida em pontos tecnicamente viáveis, além dos pontos de terminação da rede oferecidos à maioria dos usuários, sujeita a tarifas razoáveis e a uma avaliação pela autoridade reguladora, quando apropriado.</w:t>
      </w:r>
    </w:p>
    <w:p w14:paraId="1E0E0AB7" w14:textId="66AA2876" w:rsidR="004B6E5C" w:rsidRPr="001174D1" w:rsidRDefault="004B6E5C" w:rsidP="004B6E5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b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Cada Estado Parte assegurar</w:t>
      </w:r>
      <w:r w:rsidR="009A710F">
        <w:rPr>
          <w:rFonts w:ascii="Times New Roman" w:hAnsi="Times New Roman"/>
          <w:color w:val="000000"/>
          <w:sz w:val="24"/>
        </w:rPr>
        <w:t>á</w:t>
      </w:r>
      <w:r>
        <w:rPr>
          <w:rFonts w:ascii="Times New Roman" w:hAnsi="Times New Roman"/>
          <w:color w:val="000000"/>
          <w:sz w:val="24"/>
        </w:rPr>
        <w:t xml:space="preserve"> que todos os </w:t>
      </w:r>
      <w:r w:rsidR="00126B52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 xml:space="preserve">que, de acordo com a regulamentação nacional, sejam obrigados a fornecer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, tornem públicos os procedimentos aplicáveis às negociações de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. </w:t>
      </w:r>
    </w:p>
    <w:p w14:paraId="5BEE9858" w14:textId="70C8E52A" w:rsidR="004B6E5C" w:rsidRPr="001174D1" w:rsidRDefault="004B6E5C" w:rsidP="004B6E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lastRenderedPageBreak/>
        <w:t>5.</w:t>
      </w:r>
      <w:r>
        <w:rPr>
          <w:rFonts w:ascii="Times New Roman" w:hAnsi="Times New Roman"/>
          <w:b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Cada Estado Parte assegurar</w:t>
      </w:r>
      <w:r w:rsidR="00B614FE">
        <w:rPr>
          <w:rFonts w:ascii="Times New Roman" w:hAnsi="Times New Roman"/>
          <w:color w:val="000000"/>
          <w:sz w:val="24"/>
        </w:rPr>
        <w:t>á</w:t>
      </w:r>
      <w:r>
        <w:rPr>
          <w:rFonts w:ascii="Times New Roman" w:hAnsi="Times New Roman"/>
          <w:color w:val="000000"/>
          <w:sz w:val="24"/>
        </w:rPr>
        <w:t xml:space="preserve"> que os </w:t>
      </w:r>
      <w:r w:rsidR="00126B52">
        <w:rPr>
          <w:rFonts w:ascii="Times New Roman" w:hAnsi="Times New Roman"/>
          <w:color w:val="000000"/>
          <w:sz w:val="24"/>
        </w:rPr>
        <w:t>prestadores</w:t>
      </w:r>
      <w:r w:rsidR="00EC15C6">
        <w:rPr>
          <w:rFonts w:ascii="Times New Roman" w:hAnsi="Times New Roman"/>
          <w:color w:val="000000"/>
          <w:sz w:val="24"/>
        </w:rPr>
        <w:t xml:space="preserve"> </w:t>
      </w:r>
      <w:r w:rsidR="002C5E23">
        <w:rPr>
          <w:rFonts w:ascii="Times New Roman" w:hAnsi="Times New Roman"/>
          <w:color w:val="000000"/>
          <w:sz w:val="24"/>
        </w:rPr>
        <w:t>importante</w:t>
      </w:r>
      <w:r w:rsidR="00EC15C6">
        <w:rPr>
          <w:rFonts w:ascii="Times New Roman" w:hAnsi="Times New Roman"/>
          <w:color w:val="000000"/>
          <w:sz w:val="24"/>
        </w:rPr>
        <w:t>s</w:t>
      </w:r>
      <w:r w:rsidR="00126B52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disponibilizem os seus acordos de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 aos </w:t>
      </w:r>
      <w:r w:rsidR="00126B52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 xml:space="preserve">de serviços de outro Estado Parte ou publiquem as suas ofertas de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 de referência. </w:t>
      </w:r>
    </w:p>
    <w:p w14:paraId="11CD1293" w14:textId="3164FC8D" w:rsidR="004B6E5C" w:rsidRPr="001174D1" w:rsidRDefault="004B6E5C" w:rsidP="004B6E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6.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Quando os </w:t>
      </w:r>
      <w:r w:rsidR="00126B52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 xml:space="preserve">não conseguirem resolver litígios relativos à negociação de um acordo de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, tal como referido no </w:t>
      </w:r>
      <w:r w:rsidR="000F72E2">
        <w:rPr>
          <w:rFonts w:ascii="Times New Roman" w:hAnsi="Times New Roman"/>
          <w:color w:val="000000"/>
          <w:sz w:val="24"/>
        </w:rPr>
        <w:t>p</w:t>
      </w:r>
      <w:r w:rsidR="00183493">
        <w:rPr>
          <w:rFonts w:ascii="Times New Roman" w:hAnsi="Times New Roman"/>
          <w:color w:val="000000"/>
          <w:sz w:val="24"/>
        </w:rPr>
        <w:t>arágrafo 3</w:t>
      </w:r>
      <w:r>
        <w:rPr>
          <w:rFonts w:ascii="Times New Roman" w:hAnsi="Times New Roman"/>
          <w:color w:val="000000"/>
          <w:sz w:val="24"/>
        </w:rPr>
        <w:t>º, num prazo razoável, cada Estado Parte assegurar</w:t>
      </w:r>
      <w:r w:rsidR="00B614FE">
        <w:rPr>
          <w:rFonts w:ascii="Times New Roman" w:hAnsi="Times New Roman"/>
          <w:color w:val="000000"/>
          <w:sz w:val="24"/>
        </w:rPr>
        <w:t>á</w:t>
      </w:r>
      <w:r>
        <w:rPr>
          <w:rFonts w:ascii="Times New Roman" w:hAnsi="Times New Roman"/>
          <w:color w:val="000000"/>
          <w:sz w:val="24"/>
        </w:rPr>
        <w:t xml:space="preserve"> que os </w:t>
      </w:r>
      <w:r w:rsidR="00126B52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>possam recorrer à assistência de um organismo nacional independente, que pode</w:t>
      </w:r>
      <w:r w:rsidR="00B614FE">
        <w:rPr>
          <w:rFonts w:ascii="Times New Roman" w:hAnsi="Times New Roman"/>
          <w:color w:val="000000"/>
          <w:sz w:val="24"/>
        </w:rPr>
        <w:t>rá</w:t>
      </w:r>
      <w:r>
        <w:rPr>
          <w:rFonts w:ascii="Times New Roman" w:hAnsi="Times New Roman"/>
          <w:color w:val="000000"/>
          <w:sz w:val="24"/>
        </w:rPr>
        <w:t xml:space="preserve"> ser uma autoridade reguladora, tal como referido no </w:t>
      </w:r>
      <w:r w:rsidR="00183493">
        <w:rPr>
          <w:rFonts w:ascii="Times New Roman" w:hAnsi="Times New Roman"/>
          <w:color w:val="000000"/>
          <w:sz w:val="24"/>
        </w:rPr>
        <w:t>A</w:t>
      </w:r>
      <w:r>
        <w:rPr>
          <w:rFonts w:ascii="Times New Roman" w:hAnsi="Times New Roman"/>
          <w:color w:val="000000"/>
          <w:sz w:val="24"/>
        </w:rPr>
        <w:t xml:space="preserve">rtigo 6º (Autoridade Reguladora), para resolver litígios relativos aos termos, condições e tarifas adequados para a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 num prazo razoável. </w:t>
      </w:r>
    </w:p>
    <w:p w14:paraId="6D4AB6AF" w14:textId="186B20EC" w:rsidR="004B6E5C" w:rsidRPr="001174D1" w:rsidRDefault="004B6E5C" w:rsidP="004B6E5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7.</w:t>
      </w:r>
      <w:r>
        <w:rPr>
          <w:rFonts w:ascii="Times New Roman" w:hAnsi="Times New Roman"/>
          <w:color w:val="000000"/>
          <w:sz w:val="24"/>
        </w:rPr>
        <w:tab/>
        <w:t xml:space="preserve">Se um litígio referido no </w:t>
      </w:r>
      <w:r w:rsidR="000F72E2">
        <w:rPr>
          <w:rFonts w:ascii="Times New Roman" w:hAnsi="Times New Roman"/>
          <w:color w:val="000000"/>
          <w:sz w:val="24"/>
        </w:rPr>
        <w:t xml:space="preserve">parágrafo </w:t>
      </w:r>
      <w:r w:rsidR="00C348FE"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 xml:space="preserve">º não puder ser resolvido, esse organismo ou autoridade fixará as condições para a </w:t>
      </w:r>
      <w:r w:rsidR="0049579F">
        <w:rPr>
          <w:rFonts w:ascii="Times New Roman" w:hAnsi="Times New Roman"/>
          <w:color w:val="000000"/>
          <w:sz w:val="24"/>
        </w:rPr>
        <w:t>interconexão</w:t>
      </w:r>
      <w:r>
        <w:rPr>
          <w:rFonts w:ascii="Times New Roman" w:hAnsi="Times New Roman"/>
          <w:color w:val="000000"/>
          <w:sz w:val="24"/>
        </w:rPr>
        <w:t xml:space="preserve">, em conformidade com os princípios que regem o setor em questão, bem como com os estabelecidos no presente </w:t>
      </w:r>
      <w:r w:rsidR="00BC03AE">
        <w:rPr>
          <w:rFonts w:ascii="Times New Roman" w:hAnsi="Times New Roman"/>
          <w:color w:val="000000"/>
          <w:sz w:val="24"/>
        </w:rPr>
        <w:t>Anexo</w:t>
      </w:r>
      <w:r>
        <w:rPr>
          <w:rFonts w:ascii="Times New Roman" w:hAnsi="Times New Roman"/>
          <w:color w:val="000000"/>
          <w:sz w:val="24"/>
        </w:rPr>
        <w:t>. A assistência pode</w:t>
      </w:r>
      <w:r w:rsidR="00B614FE">
        <w:rPr>
          <w:rFonts w:ascii="Times New Roman" w:hAnsi="Times New Roman"/>
          <w:color w:val="000000"/>
          <w:sz w:val="24"/>
        </w:rPr>
        <w:t>rá</w:t>
      </w:r>
      <w:r>
        <w:rPr>
          <w:rFonts w:ascii="Times New Roman" w:hAnsi="Times New Roman"/>
          <w:color w:val="000000"/>
          <w:sz w:val="24"/>
        </w:rPr>
        <w:t xml:space="preserve"> incluir procedimentos especiais de conciliação.</w:t>
      </w:r>
    </w:p>
    <w:p w14:paraId="51AF48E0" w14:textId="7CDAE0D4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4</w:t>
      </w:r>
      <w:r w:rsidR="00C348FE">
        <w:t>º</w:t>
      </w:r>
    </w:p>
    <w:p w14:paraId="200EC880" w14:textId="77777777" w:rsidR="004B6E5C" w:rsidRPr="001174D1" w:rsidRDefault="004B6E5C" w:rsidP="009A1465">
      <w:pPr>
        <w:pStyle w:val="FTAarticletitle"/>
        <w:rPr>
          <w:rFonts w:cs="Times New Roman"/>
          <w:bCs/>
          <w:szCs w:val="24"/>
        </w:rPr>
      </w:pPr>
      <w:r>
        <w:t>Serviço Universal</w:t>
      </w:r>
    </w:p>
    <w:p w14:paraId="031BD7B2" w14:textId="77777777" w:rsidR="004B6E5C" w:rsidRPr="001174D1" w:rsidRDefault="004B6E5C" w:rsidP="004B6E5C">
      <w:pPr>
        <w:pStyle w:val="Corpodetexto"/>
      </w:pPr>
      <w:r>
        <w:t>1.</w:t>
      </w:r>
      <w:r>
        <w:tab/>
        <w:t xml:space="preserve">Cada Estado Parte tem o direito de definir a obrigação de serviço universal que deseja adotar ou manter. </w:t>
      </w:r>
    </w:p>
    <w:p w14:paraId="39F75194" w14:textId="77777777" w:rsidR="004B6E5C" w:rsidRPr="001174D1" w:rsidRDefault="004B6E5C" w:rsidP="004B6E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sz w:val="24"/>
        </w:rPr>
        <w:t>Cada Estado Parte administrará qualquer obrigação de serviço universal que adotar ou manter de forma transparente, objetiva, não discriminatória e competitivamente neutra.</w:t>
      </w:r>
      <w:r>
        <w:rPr>
          <w:rFonts w:ascii="Times New Roman" w:hAnsi="Times New Roman"/>
          <w:b/>
          <w:sz w:val="24"/>
        </w:rPr>
        <w:t xml:space="preserve"> </w:t>
      </w:r>
    </w:p>
    <w:p w14:paraId="56C68D16" w14:textId="70477CF4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5</w:t>
      </w:r>
      <w:r w:rsidR="00C348FE">
        <w:t>º</w:t>
      </w:r>
    </w:p>
    <w:p w14:paraId="3FA5AD23" w14:textId="1EDF2F85" w:rsidR="004B6E5C" w:rsidRPr="001174D1" w:rsidRDefault="004B6E5C" w:rsidP="009A1465">
      <w:pPr>
        <w:pStyle w:val="FTAarticletitle"/>
        <w:rPr>
          <w:rFonts w:cs="Times New Roman"/>
          <w:i w:val="0"/>
          <w:color w:val="000000"/>
          <w:szCs w:val="24"/>
        </w:rPr>
      </w:pPr>
      <w:r>
        <w:rPr>
          <w:color w:val="000000"/>
        </w:rPr>
        <w:t xml:space="preserve">Procedimento de </w:t>
      </w:r>
      <w:r w:rsidR="0048024C">
        <w:rPr>
          <w:color w:val="000000"/>
        </w:rPr>
        <w:t>L</w:t>
      </w:r>
      <w:r>
        <w:rPr>
          <w:color w:val="000000"/>
        </w:rPr>
        <w:t>icenciamento</w:t>
      </w:r>
    </w:p>
    <w:p w14:paraId="7F2F0DF1" w14:textId="356224BC" w:rsidR="004B6E5C" w:rsidRPr="001174D1" w:rsidRDefault="004B6E5C" w:rsidP="004D2749">
      <w:pPr>
        <w:pStyle w:val="Corpodetexto"/>
        <w:jc w:val="both"/>
        <w:rPr>
          <w:rFonts w:eastAsia="SimSun"/>
        </w:rPr>
      </w:pPr>
      <w:r>
        <w:t>1.</w:t>
      </w:r>
      <w:r>
        <w:tab/>
        <w:t>Quando for necessária uma licença para</w:t>
      </w:r>
      <w:r w:rsidR="000F72E2">
        <w:t xml:space="preserve"> a</w:t>
      </w:r>
      <w:r w:rsidR="00F657A4">
        <w:t xml:space="preserve"> prestação </w:t>
      </w:r>
      <w:r>
        <w:t>de um serviço de telecomunicações, a autoridade competente de um Estado Parte</w:t>
      </w:r>
      <w:r w:rsidR="00F159BF">
        <w:t xml:space="preserve"> disponibilizará</w:t>
      </w:r>
      <w:r>
        <w:t xml:space="preserve"> publicamente as seguintes informações:</w:t>
      </w:r>
    </w:p>
    <w:p w14:paraId="10A8C992" w14:textId="77777777" w:rsidR="004B6E5C" w:rsidRPr="001174D1" w:rsidRDefault="004B6E5C" w:rsidP="004B6E5C">
      <w:pPr>
        <w:pStyle w:val="Corpodetexto"/>
        <w:ind w:left="1440" w:hanging="720"/>
        <w:rPr>
          <w:rFonts w:eastAsia="SimSun"/>
        </w:rPr>
      </w:pPr>
      <w:r>
        <w:t>(a)</w:t>
      </w:r>
      <w:r>
        <w:tab/>
        <w:t>os termos e condições para tal licença;</w:t>
      </w:r>
    </w:p>
    <w:p w14:paraId="43C669C4" w14:textId="77777777" w:rsidR="004B6E5C" w:rsidRPr="001174D1" w:rsidRDefault="004B6E5C" w:rsidP="004B6E5C">
      <w:pPr>
        <w:pStyle w:val="Corpodetexto"/>
        <w:ind w:left="1440" w:hanging="720"/>
      </w:pPr>
      <w:r>
        <w:t>(b)</w:t>
      </w:r>
      <w:r>
        <w:tab/>
        <w:t>o prazo normalmente necessário para tomar uma decisão sobre um pedido de licença; e</w:t>
      </w:r>
    </w:p>
    <w:p w14:paraId="494DA4F7" w14:textId="77777777" w:rsidR="004B6E5C" w:rsidRPr="001174D1" w:rsidRDefault="004B6E5C" w:rsidP="004B6E5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(c)</w:t>
      </w:r>
      <w:r>
        <w:rPr>
          <w:rFonts w:ascii="Times New Roman" w:hAnsi="Times New Roman"/>
          <w:sz w:val="24"/>
        </w:rPr>
        <w:tab/>
        <w:t>os critérios para a concessão de direitos de uso de recursos escassos.</w:t>
      </w:r>
    </w:p>
    <w:p w14:paraId="21CC808C" w14:textId="77777777" w:rsidR="004B6E5C" w:rsidRPr="001174D1" w:rsidRDefault="004B6E5C" w:rsidP="004B6E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sz w:val="24"/>
        </w:rPr>
        <w:t xml:space="preserve">Exceto no caso das licenças relacionadas com a utilização do espectro de frequências, quando for necessária uma licença para a prestação de um serviço de telecomunicações e se as condições aplicáveis forem cumpridas, a autoridade competente de um Estado Parte tomará uma decisão, em regra geral no prazo de 12 </w:t>
      </w:r>
      <w:r>
        <w:rPr>
          <w:rFonts w:ascii="Times New Roman" w:hAnsi="Times New Roman"/>
          <w:sz w:val="24"/>
        </w:rPr>
        <w:lastRenderedPageBreak/>
        <w:t>meses a contar da data em que o pedido for considerado completo nos termos da legislação e regulamentação internas desse Estado Parte</w:t>
      </w:r>
      <w:r>
        <w:rPr>
          <w:rFonts w:ascii="Times New Roman" w:hAnsi="Times New Roman"/>
          <w:color w:val="000000"/>
          <w:sz w:val="24"/>
        </w:rPr>
        <w:t>.</w:t>
      </w:r>
      <w:r w:rsidRPr="001174D1">
        <w:rPr>
          <w:rStyle w:val="Refdenotaderodap"/>
          <w:rFonts w:ascii="Times New Roman" w:hAnsi="Times New Roman" w:cs="Times New Roman"/>
          <w:color w:val="000000"/>
          <w:sz w:val="24"/>
          <w:szCs w:val="24"/>
          <w:lang w:val="en-GB"/>
        </w:rPr>
        <w:footnoteReference w:id="4"/>
      </w:r>
    </w:p>
    <w:p w14:paraId="7ACD0451" w14:textId="396C7F55" w:rsidR="00A570D8" w:rsidRPr="001174D1" w:rsidRDefault="004B6E5C" w:rsidP="004B6E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3.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sz w:val="24"/>
        </w:rPr>
        <w:t xml:space="preserve">A autoridade competente de um Estado Parte notificará prontamente o requerente do resultado do seu pedido após a tomada de uma decisão. Caso um pedido de licença seja negado, a autoridade competente do Estado Parte </w:t>
      </w:r>
      <w:r w:rsidR="000D7F00">
        <w:rPr>
          <w:rFonts w:ascii="Times New Roman" w:hAnsi="Times New Roman"/>
          <w:sz w:val="24"/>
        </w:rPr>
        <w:t>divulgará</w:t>
      </w:r>
      <w:r>
        <w:rPr>
          <w:rFonts w:ascii="Times New Roman" w:hAnsi="Times New Roman"/>
          <w:sz w:val="24"/>
        </w:rPr>
        <w:t>, mediante solicitação, o motivo da negação ao requerente.</w:t>
      </w:r>
    </w:p>
    <w:p w14:paraId="2415A4BB" w14:textId="03F7B431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6</w:t>
      </w:r>
      <w:r w:rsidR="00C348FE">
        <w:t>º</w:t>
      </w:r>
    </w:p>
    <w:p w14:paraId="30DF7644" w14:textId="77777777" w:rsidR="004B6E5C" w:rsidRPr="001174D1" w:rsidRDefault="004B6E5C" w:rsidP="009A1465">
      <w:pPr>
        <w:pStyle w:val="FTAarticletitle"/>
        <w:rPr>
          <w:rFonts w:cs="Times New Roman"/>
          <w:color w:val="000000"/>
          <w:szCs w:val="24"/>
        </w:rPr>
      </w:pPr>
      <w:r>
        <w:rPr>
          <w:color w:val="000000"/>
        </w:rPr>
        <w:t>Autoridade Reguladora</w:t>
      </w:r>
    </w:p>
    <w:p w14:paraId="3D32A059" w14:textId="54CA9802" w:rsidR="004B6E5C" w:rsidRPr="001174D1" w:rsidRDefault="004B6E5C" w:rsidP="004B6E5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ab/>
        <w:t xml:space="preserve">A autoridade reguladora dos serviços de telecomunicações de cada Estado Parte </w:t>
      </w:r>
      <w:r w:rsidR="000D7F00">
        <w:rPr>
          <w:rFonts w:ascii="Times New Roman" w:hAnsi="Times New Roman"/>
          <w:color w:val="000000"/>
          <w:sz w:val="24"/>
        </w:rPr>
        <w:t>será</w:t>
      </w:r>
      <w:r>
        <w:rPr>
          <w:rFonts w:ascii="Times New Roman" w:hAnsi="Times New Roman"/>
          <w:color w:val="000000"/>
          <w:sz w:val="24"/>
        </w:rPr>
        <w:t xml:space="preserve"> independente de qualquer prestador de serviços de telecomunicações e não </w:t>
      </w:r>
      <w:r w:rsidR="000D7F00">
        <w:rPr>
          <w:rFonts w:ascii="Times New Roman" w:hAnsi="Times New Roman"/>
          <w:color w:val="000000"/>
          <w:sz w:val="24"/>
        </w:rPr>
        <w:t>prestará</w:t>
      </w:r>
      <w:r>
        <w:rPr>
          <w:rFonts w:ascii="Times New Roman" w:hAnsi="Times New Roman"/>
          <w:color w:val="000000"/>
          <w:sz w:val="24"/>
        </w:rPr>
        <w:t xml:space="preserve"> contas a nenhum deles.</w:t>
      </w:r>
    </w:p>
    <w:p w14:paraId="21ADCFA5" w14:textId="31D803E3" w:rsidR="004B6E5C" w:rsidRPr="001174D1" w:rsidRDefault="004B6E5C" w:rsidP="004B6E5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2.</w:t>
      </w:r>
      <w:r>
        <w:rPr>
          <w:rFonts w:ascii="Times New Roman" w:hAnsi="Times New Roman"/>
          <w:color w:val="000000"/>
          <w:sz w:val="24"/>
        </w:rPr>
        <w:tab/>
        <w:t>Cada Estado Parte assegurar</w:t>
      </w:r>
      <w:r w:rsidR="00B614FE">
        <w:rPr>
          <w:rFonts w:ascii="Times New Roman" w:hAnsi="Times New Roman"/>
          <w:color w:val="000000"/>
          <w:sz w:val="24"/>
        </w:rPr>
        <w:t>á</w:t>
      </w:r>
      <w:r>
        <w:rPr>
          <w:rFonts w:ascii="Times New Roman" w:hAnsi="Times New Roman"/>
          <w:color w:val="000000"/>
          <w:sz w:val="24"/>
        </w:rPr>
        <w:t xml:space="preserve"> que as decisões e os procedimentos utilizados pela sua autoridade reguladora sejam imparciais em relação a todos os participantes no mercado.</w:t>
      </w:r>
    </w:p>
    <w:p w14:paraId="3B9DE9FD" w14:textId="4719F0F5" w:rsidR="004B6E5C" w:rsidRPr="001174D1" w:rsidRDefault="004B6E5C" w:rsidP="004B6E5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3.</w:t>
      </w:r>
      <w:r>
        <w:rPr>
          <w:rFonts w:ascii="Times New Roman" w:hAnsi="Times New Roman"/>
          <w:color w:val="000000"/>
          <w:sz w:val="24"/>
        </w:rPr>
        <w:tab/>
        <w:t xml:space="preserve">Cada Estado Parte garantirá que os </w:t>
      </w:r>
      <w:r w:rsidR="00F657A4">
        <w:rPr>
          <w:rFonts w:ascii="Times New Roman" w:hAnsi="Times New Roman"/>
          <w:color w:val="000000"/>
          <w:sz w:val="24"/>
        </w:rPr>
        <w:t xml:space="preserve">prestadores </w:t>
      </w:r>
      <w:r>
        <w:rPr>
          <w:rFonts w:ascii="Times New Roman" w:hAnsi="Times New Roman"/>
          <w:color w:val="000000"/>
          <w:sz w:val="24"/>
        </w:rPr>
        <w:t>de outro Estado Parte afetados por uma decisão da autoridade reguladora do Estado Parte tenham recurso para apelar a um órgão administrativo independente ou a um tribunal, de acordo com as leis e regulamentos internos desse Estado Parte.</w:t>
      </w:r>
    </w:p>
    <w:p w14:paraId="1821024A" w14:textId="59C4F5D8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7</w:t>
      </w:r>
      <w:r w:rsidR="00C348FE">
        <w:t>º</w:t>
      </w:r>
    </w:p>
    <w:p w14:paraId="487BB677" w14:textId="493DCA82" w:rsidR="004B6E5C" w:rsidRPr="001174D1" w:rsidRDefault="004B6E5C" w:rsidP="009A1465">
      <w:pPr>
        <w:pStyle w:val="FTAarticletitle"/>
        <w:rPr>
          <w:rFonts w:cs="Times New Roman"/>
          <w:bCs/>
          <w:iCs/>
          <w:color w:val="000000"/>
          <w:szCs w:val="24"/>
        </w:rPr>
      </w:pPr>
      <w:r>
        <w:rPr>
          <w:color w:val="000000"/>
        </w:rPr>
        <w:t xml:space="preserve">Recursos </w:t>
      </w:r>
      <w:r w:rsidR="00BC03AE">
        <w:rPr>
          <w:color w:val="000000"/>
        </w:rPr>
        <w:t>Escassos</w:t>
      </w:r>
    </w:p>
    <w:p w14:paraId="0C52D5D8" w14:textId="3A220937" w:rsidR="004B6E5C" w:rsidRPr="001174D1" w:rsidRDefault="004B6E5C" w:rsidP="004B6E5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>Cada Estado Parte aplicar</w:t>
      </w:r>
      <w:r w:rsidR="00B614FE">
        <w:rPr>
          <w:rFonts w:ascii="Times New Roman" w:hAnsi="Times New Roman"/>
          <w:sz w:val="24"/>
        </w:rPr>
        <w:t>á</w:t>
      </w:r>
      <w:r>
        <w:rPr>
          <w:rFonts w:ascii="Times New Roman" w:hAnsi="Times New Roman"/>
          <w:sz w:val="24"/>
        </w:rPr>
        <w:t xml:space="preserve"> os seus procedimentos para a concessão de direitos de utilização de recursos escassos, incluindo frequências, números e direitos de passagem, de forma objetiva, </w:t>
      </w:r>
      <w:r w:rsidR="00226543">
        <w:rPr>
          <w:rFonts w:ascii="Times New Roman" w:hAnsi="Times New Roman"/>
          <w:sz w:val="24"/>
        </w:rPr>
        <w:t>tempestiva</w:t>
      </w:r>
      <w:r>
        <w:rPr>
          <w:rFonts w:ascii="Times New Roman" w:hAnsi="Times New Roman"/>
          <w:sz w:val="24"/>
        </w:rPr>
        <w:t>, transparente e não discriminatória.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Cada Estado Parte </w:t>
      </w:r>
      <w:r w:rsidR="000D7F00">
        <w:rPr>
          <w:rFonts w:ascii="Times New Roman" w:hAnsi="Times New Roman"/>
          <w:sz w:val="24"/>
        </w:rPr>
        <w:t>disponibilizará</w:t>
      </w:r>
      <w:r>
        <w:rPr>
          <w:rFonts w:ascii="Times New Roman" w:hAnsi="Times New Roman"/>
          <w:sz w:val="24"/>
        </w:rPr>
        <w:t xml:space="preserve"> disponibilizar publicamente o estado atual das bandas de frequência atribuídas, mas não é necessária a identificação detalhada das frequências para usos governamentais específicos.</w:t>
      </w:r>
    </w:p>
    <w:p w14:paraId="5A10EC6D" w14:textId="0F152F4D" w:rsidR="004B6E5C" w:rsidRPr="001174D1" w:rsidRDefault="004B6E5C" w:rsidP="004567B7">
      <w:pPr>
        <w:pStyle w:val="FTAarticlenumber"/>
        <w:rPr>
          <w:rFonts w:cs="Times New Roman"/>
          <w:szCs w:val="24"/>
        </w:rPr>
      </w:pPr>
      <w:r>
        <w:t>Artigo 8</w:t>
      </w:r>
      <w:r w:rsidR="00532C5C">
        <w:t>°</w:t>
      </w:r>
    </w:p>
    <w:p w14:paraId="135977CF" w14:textId="55373143" w:rsidR="004B6E5C" w:rsidRPr="001174D1" w:rsidRDefault="004B6E5C" w:rsidP="009A1465">
      <w:pPr>
        <w:pStyle w:val="FTAarticletitle"/>
        <w:rPr>
          <w:rFonts w:cs="Times New Roman"/>
          <w:szCs w:val="24"/>
        </w:rPr>
      </w:pPr>
      <w:r>
        <w:t xml:space="preserve">Serviços de </w:t>
      </w:r>
      <w:r w:rsidR="00BC03AE">
        <w:t>Roaming Móvel Internacional</w:t>
      </w:r>
    </w:p>
    <w:p w14:paraId="0277173A" w14:textId="77777777" w:rsidR="004B6E5C" w:rsidRPr="001174D1" w:rsidRDefault="004B6E5C" w:rsidP="004B6E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Cada Estado Parte envidará esforços para cooperar na promoção de tarifas transparentes e razoáveis para os serviços de roaming internacional, com o objetivo de reduzir essas tarifas, promover o crescimento comercial entre as Partes e melhorar o bem-estar dos consumidores.</w:t>
      </w:r>
    </w:p>
    <w:p w14:paraId="20894E93" w14:textId="24C912CB" w:rsidR="004B6E5C" w:rsidRPr="001174D1" w:rsidRDefault="004B6E5C" w:rsidP="004B6E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Os Estados Partes </w:t>
      </w:r>
      <w:r w:rsidR="000D7F00">
        <w:rPr>
          <w:rFonts w:ascii="Times New Roman" w:hAnsi="Times New Roman"/>
          <w:sz w:val="24"/>
        </w:rPr>
        <w:t>garantirão</w:t>
      </w:r>
      <w:r>
        <w:rPr>
          <w:rFonts w:ascii="Times New Roman" w:hAnsi="Times New Roman"/>
          <w:sz w:val="24"/>
        </w:rPr>
        <w:t xml:space="preserve"> que informações claras estejam disponíveis para os usuários de serviços de roaming internacional.</w:t>
      </w:r>
    </w:p>
    <w:p w14:paraId="66A4F419" w14:textId="5401A8C1" w:rsidR="00A02F68" w:rsidRPr="001174D1" w:rsidRDefault="00A02F68" w:rsidP="002F488F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________________</w:t>
      </w:r>
    </w:p>
    <w:sectPr w:rsidR="00A02F68" w:rsidRPr="001174D1" w:rsidSect="002F488F">
      <w:footerReference w:type="default" r:id="rId12"/>
      <w:pgSz w:w="11906" w:h="16838"/>
      <w:pgMar w:top="1134" w:right="1985" w:bottom="1134" w:left="1985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4C17C4" w16cex:dateUtc="2026-03-25T13:08:00Z"/>
  <w16cex:commentExtensible w16cex:durableId="24D8A8AC" w16cex:dateUtc="2026-03-24T14:10:00Z"/>
  <w16cex:commentExtensible w16cex:durableId="0BCF3EED" w16cex:dateUtc="2026-03-24T14:24:00Z"/>
  <w16cex:commentExtensible w16cex:durableId="38CA332A" w16cex:dateUtc="2026-03-18T19:45:00Z"/>
  <w16cex:commentExtensible w16cex:durableId="085B3067" w16cex:dateUtc="2026-03-18T19:35:00Z"/>
  <w16cex:commentExtensible w16cex:durableId="2CA85390" w16cex:dateUtc="2026-03-18T19:26:00Z"/>
  <w16cex:commentExtensible w16cex:durableId="168EC5AF" w16cex:dateUtc="2026-03-18T20:05:00Z"/>
  <w16cex:commentExtensible w16cex:durableId="7B950C2A" w16cex:dateUtc="2026-03-24T14:11:00Z"/>
  <w16cex:commentExtensible w16cex:durableId="0947C303" w16cex:dateUtc="2026-03-18T2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892D1B" w16cid:durableId="564C17C4"/>
  <w16cid:commentId w16cid:paraId="1F01F4F5" w16cid:durableId="24D8A8AC"/>
  <w16cid:commentId w16cid:paraId="1993CEE6" w16cid:durableId="0BCF3EED"/>
  <w16cid:commentId w16cid:paraId="65F769BF" w16cid:durableId="38CA332A"/>
  <w16cid:commentId w16cid:paraId="0D089FF0" w16cid:durableId="085B3067"/>
  <w16cid:commentId w16cid:paraId="3BD7B0CC" w16cid:durableId="2CA85390"/>
  <w16cid:commentId w16cid:paraId="0535CB26" w16cid:durableId="168EC5AF"/>
  <w16cid:commentId w16cid:paraId="33F28FF2" w16cid:durableId="7B950C2A"/>
  <w16cid:commentId w16cid:paraId="2AC8294E" w16cid:durableId="0947C3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707B1" w14:textId="77777777" w:rsidR="0052033F" w:rsidRDefault="0052033F" w:rsidP="004B6E5C">
      <w:pPr>
        <w:spacing w:after="0" w:line="240" w:lineRule="auto"/>
      </w:pPr>
      <w:r>
        <w:separator/>
      </w:r>
    </w:p>
  </w:endnote>
  <w:endnote w:type="continuationSeparator" w:id="0">
    <w:p w14:paraId="5A0D27DB" w14:textId="77777777" w:rsidR="0052033F" w:rsidRDefault="0052033F" w:rsidP="004B6E5C">
      <w:pPr>
        <w:spacing w:after="0" w:line="240" w:lineRule="auto"/>
      </w:pPr>
      <w:r>
        <w:continuationSeparator/>
      </w:r>
    </w:p>
  </w:endnote>
  <w:endnote w:type="continuationNotice" w:id="1">
    <w:p w14:paraId="455C16EA" w14:textId="77777777" w:rsidR="0052033F" w:rsidRDefault="00520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44459" w14:textId="77777777" w:rsidR="003039CA" w:rsidRDefault="003039C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3BBC3" w14:textId="2F6DBBFB" w:rsidR="004B6E5C" w:rsidRDefault="004B6E5C" w:rsidP="00AA642D">
    <w:pPr>
      <w:pStyle w:val="Rodap"/>
      <w:tabs>
        <w:tab w:val="clear" w:pos="4513"/>
        <w:tab w:val="left" w:pos="347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0125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BC26FB" w14:textId="3B1583E2" w:rsidR="00025FAC" w:rsidRDefault="00025FAC" w:rsidP="00025FAC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972">
          <w:rPr>
            <w:noProof/>
          </w:rPr>
          <w:t>- 7 -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745C8" w14:textId="77777777" w:rsidR="0052033F" w:rsidRDefault="0052033F" w:rsidP="004B6E5C">
      <w:pPr>
        <w:spacing w:after="0" w:line="240" w:lineRule="auto"/>
      </w:pPr>
      <w:r>
        <w:separator/>
      </w:r>
    </w:p>
  </w:footnote>
  <w:footnote w:type="continuationSeparator" w:id="0">
    <w:p w14:paraId="621E9140" w14:textId="77777777" w:rsidR="0052033F" w:rsidRDefault="0052033F" w:rsidP="004B6E5C">
      <w:pPr>
        <w:spacing w:after="0" w:line="240" w:lineRule="auto"/>
      </w:pPr>
      <w:r>
        <w:continuationSeparator/>
      </w:r>
    </w:p>
  </w:footnote>
  <w:footnote w:type="continuationNotice" w:id="1">
    <w:p w14:paraId="147402B7" w14:textId="77777777" w:rsidR="0052033F" w:rsidRDefault="0052033F">
      <w:pPr>
        <w:spacing w:after="0" w:line="240" w:lineRule="auto"/>
      </w:pPr>
    </w:p>
  </w:footnote>
  <w:footnote w:id="2">
    <w:p w14:paraId="0890761F" w14:textId="63ED9E6C" w:rsidR="004B6E5C" w:rsidRPr="00633A77" w:rsidRDefault="004B6E5C" w:rsidP="00025FAC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 xml:space="preserve">Para os fins deste </w:t>
      </w:r>
      <w:r w:rsidR="0048024C">
        <w:t>A</w:t>
      </w:r>
      <w:r>
        <w:t>nexo, “comércio de serviços de telecomunicações” ser</w:t>
      </w:r>
      <w:r w:rsidR="009A710F">
        <w:t>á</w:t>
      </w:r>
      <w:r>
        <w:t xml:space="preserve"> entendido de acordo com a definição contida na alínea </w:t>
      </w:r>
      <w:r w:rsidR="0059096F">
        <w:t>(</w:t>
      </w:r>
      <w:r>
        <w:t xml:space="preserve">a) do </w:t>
      </w:r>
      <w:r w:rsidR="00CD201E">
        <w:t>A</w:t>
      </w:r>
      <w:r>
        <w:t>rtigo 8.2 (Definições) do Acordo.</w:t>
      </w:r>
    </w:p>
  </w:footnote>
  <w:footnote w:id="3">
    <w:p w14:paraId="29102727" w14:textId="2DE387E0" w:rsidR="004B6E5C" w:rsidRDefault="004B6E5C" w:rsidP="00025FAC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 xml:space="preserve">Para os fins deste Anexo, “radiodifusão” </w:t>
      </w:r>
      <w:r w:rsidR="0030775A">
        <w:t xml:space="preserve">é </w:t>
      </w:r>
      <w:r>
        <w:t>definida conforme previsto nas leis e regulamentos internos de cada Estado Parte.</w:t>
      </w:r>
    </w:p>
  </w:footnote>
  <w:footnote w:id="4">
    <w:p w14:paraId="6BBADD3B" w14:textId="548EC733" w:rsidR="004B6E5C" w:rsidRPr="00D744FE" w:rsidRDefault="004B6E5C" w:rsidP="00A570D8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ab/>
        <w:t>O prazo de 12 meses não se aplica</w:t>
      </w:r>
      <w:r w:rsidR="00B614FE">
        <w:t>rá</w:t>
      </w:r>
      <w:r>
        <w:t xml:space="preserve"> ao Paraguai. Em vez disso, a decisão </w:t>
      </w:r>
      <w:r w:rsidR="000D7F00">
        <w:t>será</w:t>
      </w:r>
      <w:r>
        <w:t xml:space="preserve"> tomada dentro de um prazo razoável após a apresentação do pedido.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7CB32" w14:textId="77777777" w:rsidR="004B6E5C" w:rsidRPr="005F583C" w:rsidRDefault="004B6E5C" w:rsidP="00AA642D">
    <w:pPr>
      <w:pStyle w:val="Cabealho"/>
      <w:tabs>
        <w:tab w:val="left" w:pos="5954"/>
      </w:tabs>
      <w:rPr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5C"/>
    <w:rsid w:val="00015965"/>
    <w:rsid w:val="00025FAC"/>
    <w:rsid w:val="000423F1"/>
    <w:rsid w:val="000B1FE8"/>
    <w:rsid w:val="000D7F00"/>
    <w:rsid w:val="000F72E2"/>
    <w:rsid w:val="001174D1"/>
    <w:rsid w:val="00125343"/>
    <w:rsid w:val="00126B52"/>
    <w:rsid w:val="001320CD"/>
    <w:rsid w:val="00183493"/>
    <w:rsid w:val="001A73E3"/>
    <w:rsid w:val="001B6AEC"/>
    <w:rsid w:val="001E5BEC"/>
    <w:rsid w:val="00223557"/>
    <w:rsid w:val="00226543"/>
    <w:rsid w:val="00234E20"/>
    <w:rsid w:val="002376F9"/>
    <w:rsid w:val="00253F88"/>
    <w:rsid w:val="002A36BE"/>
    <w:rsid w:val="002A4FC5"/>
    <w:rsid w:val="002A78FA"/>
    <w:rsid w:val="002B639B"/>
    <w:rsid w:val="002C30B6"/>
    <w:rsid w:val="002C5E23"/>
    <w:rsid w:val="002E0665"/>
    <w:rsid w:val="002F488F"/>
    <w:rsid w:val="003039CA"/>
    <w:rsid w:val="0030775A"/>
    <w:rsid w:val="00332B0A"/>
    <w:rsid w:val="00357152"/>
    <w:rsid w:val="00393B5B"/>
    <w:rsid w:val="003C7D4F"/>
    <w:rsid w:val="003D25B2"/>
    <w:rsid w:val="003D4D38"/>
    <w:rsid w:val="004567B7"/>
    <w:rsid w:val="0048024C"/>
    <w:rsid w:val="00482BD2"/>
    <w:rsid w:val="00494499"/>
    <w:rsid w:val="0049579F"/>
    <w:rsid w:val="004A345D"/>
    <w:rsid w:val="004B6E5C"/>
    <w:rsid w:val="004D2749"/>
    <w:rsid w:val="0052033F"/>
    <w:rsid w:val="00532C5C"/>
    <w:rsid w:val="00543CA9"/>
    <w:rsid w:val="00553A06"/>
    <w:rsid w:val="00590221"/>
    <w:rsid w:val="0059096F"/>
    <w:rsid w:val="006206DB"/>
    <w:rsid w:val="006527EA"/>
    <w:rsid w:val="00654F8F"/>
    <w:rsid w:val="006850B0"/>
    <w:rsid w:val="00715332"/>
    <w:rsid w:val="0076291E"/>
    <w:rsid w:val="007F2B14"/>
    <w:rsid w:val="007F4B1C"/>
    <w:rsid w:val="00802643"/>
    <w:rsid w:val="00810048"/>
    <w:rsid w:val="0084719E"/>
    <w:rsid w:val="00891AF1"/>
    <w:rsid w:val="008949AF"/>
    <w:rsid w:val="008F72F2"/>
    <w:rsid w:val="009112CB"/>
    <w:rsid w:val="00972972"/>
    <w:rsid w:val="00995486"/>
    <w:rsid w:val="009A1465"/>
    <w:rsid w:val="009A710F"/>
    <w:rsid w:val="00A02F68"/>
    <w:rsid w:val="00A36D26"/>
    <w:rsid w:val="00A570D8"/>
    <w:rsid w:val="00AA4EFF"/>
    <w:rsid w:val="00AB1210"/>
    <w:rsid w:val="00B34B24"/>
    <w:rsid w:val="00B37B8C"/>
    <w:rsid w:val="00B40248"/>
    <w:rsid w:val="00B614FE"/>
    <w:rsid w:val="00B75C0D"/>
    <w:rsid w:val="00BC03AE"/>
    <w:rsid w:val="00BC062A"/>
    <w:rsid w:val="00BC43F5"/>
    <w:rsid w:val="00C348FE"/>
    <w:rsid w:val="00C35F23"/>
    <w:rsid w:val="00C417F4"/>
    <w:rsid w:val="00C5256F"/>
    <w:rsid w:val="00C60A1C"/>
    <w:rsid w:val="00CD201E"/>
    <w:rsid w:val="00D470F6"/>
    <w:rsid w:val="00D570EB"/>
    <w:rsid w:val="00D83D33"/>
    <w:rsid w:val="00DE3D8E"/>
    <w:rsid w:val="00E4004A"/>
    <w:rsid w:val="00E7749D"/>
    <w:rsid w:val="00E83AC6"/>
    <w:rsid w:val="00EC15C6"/>
    <w:rsid w:val="00F10AE6"/>
    <w:rsid w:val="00F159BF"/>
    <w:rsid w:val="00F657A4"/>
    <w:rsid w:val="00FB69D4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52D288"/>
  <w15:chartTrackingRefBased/>
  <w15:docId w15:val="{FD7C4D67-D6A1-4747-95D4-07CF8155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E5C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4B6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nhideWhenUsed/>
    <w:qFormat/>
    <w:rsid w:val="004B6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B6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B6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6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B6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B6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B6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B6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4B6E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4B6E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B6E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B6E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6E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B6E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B6E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B6E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B6E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B6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B6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B6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B6E5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B6E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B6E5C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B6E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B6E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B6E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B6E5C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4B6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4B6E5C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4B6E5C"/>
    <w:rPr>
      <w:vertAlign w:val="superscript"/>
    </w:rPr>
  </w:style>
  <w:style w:type="paragraph" w:styleId="Corpodetexto">
    <w:name w:val="Body Text"/>
    <w:basedOn w:val="Normal"/>
    <w:link w:val="CorpodetextoChar"/>
    <w:unhideWhenUsed/>
    <w:qFormat/>
    <w:rsid w:val="004B6E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4B6E5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B6E5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odapChar">
    <w:name w:val="Rodapé Char"/>
    <w:basedOn w:val="Fontepargpadro"/>
    <w:link w:val="Rodap"/>
    <w:uiPriority w:val="99"/>
    <w:rsid w:val="004B6E5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article">
    <w:name w:val="title article"/>
    <w:rsid w:val="004B6E5C"/>
    <w:pPr>
      <w:keepNext/>
      <w:spacing w:after="0" w:line="312" w:lineRule="exact"/>
      <w:jc w:val="center"/>
    </w:pPr>
    <w:rPr>
      <w:rFonts w:ascii="Bookman" w:eastAsia="Times New Roman" w:hAnsi="Bookman" w:cs="Times New Roman"/>
      <w:smallCaps/>
      <w:kern w:val="0"/>
      <w:sz w:val="24"/>
      <w:szCs w:val="20"/>
      <w14:ligatures w14:val="none"/>
    </w:rPr>
  </w:style>
  <w:style w:type="paragraph" w:styleId="Recuodecorpodetexto2">
    <w:name w:val="Body Text Indent 2"/>
    <w:basedOn w:val="Normal"/>
    <w:link w:val="Recuodecorpodetexto2Char"/>
    <w:unhideWhenUsed/>
    <w:rsid w:val="004B6E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ecuodecorpodetexto2Char">
    <w:name w:val="Recuo de corpo de texto 2 Char"/>
    <w:basedOn w:val="Fontepargpadro"/>
    <w:link w:val="Recuodecorpodetexto2"/>
    <w:rsid w:val="004B6E5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NormalWeb">
    <w:name w:val="Normal (Web)"/>
    <w:aliases w:val=" Char"/>
    <w:basedOn w:val="Normal"/>
    <w:link w:val="NormalWebChar"/>
    <w:uiPriority w:val="99"/>
    <w:unhideWhenUsed/>
    <w:rsid w:val="004B6E5C"/>
    <w:pPr>
      <w:spacing w:after="100" w:line="240" w:lineRule="auto"/>
    </w:pPr>
    <w:rPr>
      <w:rFonts w:ascii="Arial Unicode MS" w:eastAsia="Times New Roman" w:hAnsi="Arial Unicode MS" w:cs="Times New Roman"/>
      <w:sz w:val="24"/>
      <w:szCs w:val="24"/>
      <w:lang w:eastAsia="es-ES"/>
    </w:rPr>
  </w:style>
  <w:style w:type="character" w:customStyle="1" w:styleId="NormalWebChar">
    <w:name w:val="Normal (Web) Char"/>
    <w:aliases w:val=" Char Char"/>
    <w:link w:val="NormalWeb"/>
    <w:uiPriority w:val="99"/>
    <w:rsid w:val="004B6E5C"/>
    <w:rPr>
      <w:rFonts w:ascii="Arial Unicode MS" w:eastAsia="Times New Roman" w:hAnsi="Arial Unicode MS" w:cs="Times New Roman"/>
      <w:kern w:val="0"/>
      <w:sz w:val="24"/>
      <w:szCs w:val="24"/>
      <w:lang w:val="pt-BR" w:eastAsia="es-ES"/>
      <w14:ligatures w14:val="none"/>
    </w:rPr>
  </w:style>
  <w:style w:type="paragraph" w:customStyle="1" w:styleId="article">
    <w:name w:val="article"/>
    <w:basedOn w:val="Normal"/>
    <w:autoRedefine/>
    <w:rsid w:val="004B6E5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abealho">
    <w:name w:val="header"/>
    <w:aliases w:val="Header1,En-tête1"/>
    <w:basedOn w:val="Normal"/>
    <w:link w:val="CabealhoChar"/>
    <w:unhideWhenUsed/>
    <w:rsid w:val="004B6E5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4B6E5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HeaderFooter">
    <w:name w:val="HeaderFooter"/>
    <w:basedOn w:val="Cabealho"/>
    <w:rsid w:val="004B6E5C"/>
    <w:pPr>
      <w:tabs>
        <w:tab w:val="clear" w:pos="4513"/>
        <w:tab w:val="clear" w:pos="9026"/>
        <w:tab w:val="center" w:pos="4320"/>
        <w:tab w:val="right" w:pos="8640"/>
      </w:tabs>
      <w:jc w:val="center"/>
    </w:pPr>
    <w:rPr>
      <w:rFonts w:ascii="Arial" w:eastAsia="Batang" w:hAnsi="Arial"/>
      <w:b/>
      <w:smallCaps/>
      <w:szCs w:val="20"/>
      <w:lang w:eastAsia="en-US"/>
    </w:rPr>
  </w:style>
  <w:style w:type="paragraph" w:customStyle="1" w:styleId="articlesubtitle">
    <w:name w:val="articlesubtitle"/>
    <w:basedOn w:val="article"/>
    <w:rsid w:val="004B6E5C"/>
    <w:rPr>
      <w:rFonts w:cs="Angsana New"/>
      <w:bCs w:val="0"/>
      <w:i/>
      <w:szCs w:val="20"/>
    </w:rPr>
  </w:style>
  <w:style w:type="paragraph" w:customStyle="1" w:styleId="indent">
    <w:name w:val="indent"/>
    <w:basedOn w:val="Normal"/>
    <w:next w:val="Normal"/>
    <w:rsid w:val="004B6E5C"/>
    <w:pPr>
      <w:spacing w:after="0" w:line="240" w:lineRule="auto"/>
      <w:ind w:left="1440" w:hanging="720"/>
      <w:jc w:val="both"/>
    </w:pPr>
    <w:rPr>
      <w:rFonts w:ascii="Times New Roman" w:eastAsia="Batang" w:hAnsi="Times New Roman" w:cs="Times New Roman"/>
      <w:sz w:val="24"/>
      <w:szCs w:val="20"/>
    </w:rPr>
  </w:style>
  <w:style w:type="paragraph" w:customStyle="1" w:styleId="Annexestext">
    <w:name w:val="Annexes text"/>
    <w:basedOn w:val="Annexes"/>
    <w:autoRedefine/>
    <w:rsid w:val="004B6E5C"/>
    <w:rPr>
      <w:b w:val="0"/>
    </w:rPr>
  </w:style>
  <w:style w:type="paragraph" w:customStyle="1" w:styleId="Annexes">
    <w:name w:val="Annexes"/>
    <w:rsid w:val="004B6E5C"/>
    <w:pPr>
      <w:spacing w:after="0" w:line="240" w:lineRule="auto"/>
      <w:jc w:val="center"/>
    </w:pPr>
    <w:rPr>
      <w:rFonts w:ascii="Times" w:eastAsia="Times New Roman" w:hAnsi="Times" w:cs="Angsana New"/>
      <w:b/>
      <w:caps/>
      <w:kern w:val="0"/>
      <w:sz w:val="32"/>
      <w:szCs w:val="20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C35F23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</w:rPr>
  </w:style>
  <w:style w:type="character" w:customStyle="1" w:styleId="CoverpageannexnumberChar">
    <w:name w:val="Cover page annex number Char"/>
    <w:basedOn w:val="Fontepargpadro"/>
    <w:link w:val="Coverpageannexnumber"/>
    <w:rsid w:val="00C35F23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  <w14:ligatures w14:val="none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025FAC"/>
    <w:pPr>
      <w:keepNext/>
      <w:keepLines/>
      <w:spacing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025FAC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C417F4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C417F4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4567B7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kern w:val="0"/>
      <w:sz w:val="24"/>
      <w:szCs w:val="26"/>
      <w:lang w:eastAsia="es-ES"/>
      <w14:ligatures w14:val="none"/>
    </w:rPr>
  </w:style>
  <w:style w:type="character" w:customStyle="1" w:styleId="FTAarticlenumberChar">
    <w:name w:val="FTA article number Char"/>
    <w:basedOn w:val="Fontepargpadro"/>
    <w:link w:val="FTAarticlenumber"/>
    <w:rsid w:val="004567B7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9A1465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kern w:val="0"/>
      <w:sz w:val="24"/>
      <w:szCs w:val="26"/>
      <w:lang w:eastAsia="es-ES"/>
      <w14:ligatures w14:val="none"/>
    </w:rPr>
  </w:style>
  <w:style w:type="character" w:customStyle="1" w:styleId="FTAarticletitleChar">
    <w:name w:val="FTA article title Char"/>
    <w:basedOn w:val="Fontepargpadro"/>
    <w:link w:val="FTAarticletitle"/>
    <w:rsid w:val="009A1465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styleId="Reviso">
    <w:name w:val="Revision"/>
    <w:hidden/>
    <w:uiPriority w:val="99"/>
    <w:semiHidden/>
    <w:rsid w:val="0059096F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7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775A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49579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9579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9579F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9579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9579F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A66921-4F77-40EC-A732-4ED00F18B734}">
  <ds:schemaRefs>
    <ds:schemaRef ds:uri="http://schemas.microsoft.com/office/2006/metadata/properties"/>
    <ds:schemaRef ds:uri="http://schemas.microsoft.com/office/infopath/2007/PartnerControls"/>
    <ds:schemaRef ds:uri="c236eead-057f-4456-b045-1e6d9ca08cbd"/>
    <ds:schemaRef ds:uri="c3595255-03e9-4f2b-b62f-7eedf31d862a"/>
  </ds:schemaRefs>
</ds:datastoreItem>
</file>

<file path=customXml/itemProps2.xml><?xml version="1.0" encoding="utf-8"?>
<ds:datastoreItem xmlns:ds="http://schemas.openxmlformats.org/officeDocument/2006/customXml" ds:itemID="{8C572AEF-B761-4525-8DFE-917AFF7CD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785659-25FC-41B6-A230-C30F95EC8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1313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8</cp:revision>
  <dcterms:created xsi:type="dcterms:W3CDTF">2026-03-24T13:28:00Z</dcterms:created>
  <dcterms:modified xsi:type="dcterms:W3CDTF">2026-04-09T13:26:00Z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